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700B" w14:textId="77777777" w:rsidR="00BA4794" w:rsidRDefault="00000000">
      <w:pPr>
        <w:spacing w:after="113"/>
        <w:jc w:val="center"/>
      </w:pPr>
      <w:bookmarkStart w:id="0" w:name="_Hlk208945572"/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СОГЛАСИЕ НА РЕКЛАМНОЕ ВЗАИМОДЕЙСТВИЕ</w:t>
      </w:r>
    </w:p>
    <w:p w14:paraId="6DC25765" w14:textId="36F81D34" w:rsidR="00BA4794" w:rsidRDefault="00000000">
      <w:pPr>
        <w:tabs>
          <w:tab w:val="left" w:pos="851"/>
        </w:tabs>
        <w:spacing w:after="0" w:line="280" w:lineRule="exact"/>
        <w:ind w:firstLine="567"/>
      </w:pPr>
      <w:r>
        <w:rPr>
          <w:rFonts w:ascii="Times New Roman" w:eastAsia="Arial" w:hAnsi="Times New Roman" w:cs="Times New Roman"/>
          <w:sz w:val="24"/>
          <w:szCs w:val="24"/>
        </w:rPr>
        <w:t xml:space="preserve">Я даю </w:t>
      </w:r>
      <w:r w:rsidR="0003395D">
        <w:rPr>
          <w:rFonts w:ascii="Times New Roman" w:eastAsia="Arial" w:hAnsi="Times New Roman" w:cs="Times New Roman"/>
          <w:b/>
          <w:bCs/>
          <w:sz w:val="24"/>
          <w:szCs w:val="24"/>
        </w:rPr>
        <w:t>Geely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Мартен (ООО «Мартен-Авто Сервис»)</w:t>
      </w:r>
      <w:r>
        <w:rPr>
          <w:rFonts w:ascii="Times New Roman" w:hAnsi="Times New Roman" w:cs="Times New Roman"/>
          <w:sz w:val="24"/>
          <w:szCs w:val="24"/>
        </w:rPr>
        <w:t xml:space="preserve"> (1083525007873: , 3525205290: </w:t>
      </w:r>
      <w:r>
        <w:rPr>
          <w:rFonts w:ascii="Times New Roman" w:eastAsia="Arial" w:hAnsi="Times New Roman" w:cs="Times New Roman"/>
          <w:sz w:val="24"/>
          <w:szCs w:val="24"/>
        </w:rPr>
        <w:t xml:space="preserve">160017, Вологодская Область, г. Вологда, ул. Ленинградская, д. 77 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eastAsia="Arial" w:hAnsi="Times New Roman" w:cs="Times New Roman"/>
          <w:sz w:val="24"/>
          <w:szCs w:val="24"/>
        </w:rPr>
        <w:t xml:space="preserve"> (далее – Рекламодатель-1, Оператор) настоящее согласие (далее – Согласие) на следующих условиях: </w:t>
      </w:r>
    </w:p>
    <w:p w14:paraId="539FB234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</w:rPr>
        <w:t xml:space="preserve">Обработка осуществляется в целях совершенствования и развития Оператором деятельности в части, предложения и продвижения собственной продукции и бренда на рынке путем осуществления маркетинговых коммуникаций (рекламного взаимодействия), в том числе путем направления персональных предложений и рекламных сообщений, а также путем демонстрации (в т.ч. в сети Интернет) персонализированной и (или)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неперсонализированной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рекламы.</w:t>
      </w:r>
    </w:p>
    <w:p w14:paraId="3084601D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Оператор вправе производить сбор, запись, систематизацию, накопление, хранение, уточнение (обновление, изменение), извлечение, получение, сопоставление (сравнение), объединение (связывание), использование, передачу (предоставление, доступ), в том числе блокирование, удаление, уничтожение с использованием средств автоматизации и (или) без использования таких средств следующих моих персональных данных (далее – ПД): </w:t>
      </w:r>
    </w:p>
    <w:p w14:paraId="61680F9A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фамилия, имя, отчество;</w:t>
      </w:r>
    </w:p>
    <w:p w14:paraId="702B6354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контактные (коммуникационные</w:t>
      </w:r>
      <w:r>
        <w:rPr>
          <w:rFonts w:ascii="Times New Roman" w:eastAsia="Arial" w:hAnsi="Times New Roman" w:cs="Times New Roman"/>
          <w:sz w:val="24"/>
          <w:szCs w:val="24"/>
        </w:rPr>
        <w:t>) данные</w:t>
      </w:r>
      <w:r>
        <w:rPr>
          <w:rStyle w:val="af0"/>
          <w:rFonts w:ascii="Times New Roman" w:eastAsia="Arial" w:hAnsi="Times New Roman" w:cs="Times New Roman"/>
          <w:sz w:val="24"/>
          <w:szCs w:val="24"/>
        </w:rPr>
        <w:footnoteReference w:id="1"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;</w:t>
      </w:r>
    </w:p>
    <w:p w14:paraId="4B8E8C4B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показатели приобретения и использования продукции и (или) информационных материалов;</w:t>
      </w:r>
    </w:p>
    <w:p w14:paraId="36A8FFF9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транспортном средстве (при условии уже имеющегося автомобиля нашего бренда или указания модели автомобиля в форме сбора на сайте).</w:t>
      </w:r>
    </w:p>
    <w:p w14:paraId="0C70CE6C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</w:rPr>
        <w:t>Оператор вправе для достижения цели привлекать к рекламному взаимодействию третьих лиц, к которым могут относиться поставщики услуг по осуществлению информационного и маркетингового взаимодействия (в т.ч. с помощью Интернет-ресурсов и средств связи) и организации, включая, но не ограничиваясь</w:t>
      </w:r>
      <w:r>
        <w:rPr>
          <w:rStyle w:val="af0"/>
          <w:rFonts w:ascii="Times New Roman" w:eastAsia="Arial" w:hAnsi="Times New Roman" w:cs="Times New Roman"/>
          <w:sz w:val="24"/>
          <w:szCs w:val="24"/>
        </w:rPr>
        <w:footnoteReference w:id="2"/>
      </w:r>
      <w:r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5EABCC57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ООО «ИНФОТЕК» (ОГРН: 1107154005980, ИНН: 7106513340, юр. адрес: 300034, Тульская область, г. Тула, ул. Революции, д. 21, офис 6);</w:t>
      </w:r>
    </w:p>
    <w:p w14:paraId="14D5A81E" w14:textId="77777777" w:rsidR="0003395D" w:rsidRPr="0003395D" w:rsidRDefault="00000000" w:rsidP="0003395D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ООО «ПЕРКС СОФТ» (ОГРН: 1167746108276, ИНН: 7726367643, юр. адрес: 115191, г. Москва,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вн.тер.г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Муниципальный округ Донской, пер. Духовской, д. 17, стр. 10, этаж 4,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помещ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. 5);</w:t>
      </w:r>
    </w:p>
    <w:p w14:paraId="7D08607F" w14:textId="14C641C4" w:rsidR="0003395D" w:rsidRPr="0003395D" w:rsidRDefault="0003395D" w:rsidP="0003395D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ООО «СЛАВА МОТОРС РУС» (ОГРН: 1235000153464, ИНН: 5024238996, юр. адрес: 127018, г. Москва, </w:t>
      </w:r>
      <w:proofErr w:type="spellStart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>вн.тер.г</w:t>
      </w:r>
      <w:proofErr w:type="spellEnd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Муниципальный округ Марьина Роща, </w:t>
      </w:r>
      <w:proofErr w:type="spellStart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>ул</w:t>
      </w:r>
      <w:proofErr w:type="spellEnd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Двинцев, д. 12 к. 1, </w:t>
      </w:r>
      <w:proofErr w:type="spellStart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>помещ</w:t>
      </w:r>
      <w:proofErr w:type="spellEnd"/>
      <w:r w:rsidRPr="0003395D">
        <w:rPr>
          <w:rFonts w:ascii="Times New Roman" w:eastAsia="Arial" w:hAnsi="Times New Roman" w:cs="Times New Roman"/>
          <w:sz w:val="24"/>
          <w:szCs w:val="24"/>
          <w:lang w:eastAsia="ru-RU"/>
        </w:rPr>
        <w:t>. 1/1).</w:t>
      </w:r>
    </w:p>
    <w:p w14:paraId="2BE15121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АО «ПИ ЭЙЧ ДИ» (ОГРН: 1057747131639, ИНН: 7710586343, юр. адрес: 115114, г. Москва, наб. Дербеневская, д. 7, стр. 9,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эт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. 1, подъезд А);</w:t>
      </w:r>
    </w:p>
    <w:p w14:paraId="7DF21C5A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bookmarkStart w:id="1" w:name="_Hlk209006862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ООО «ЭМДЖИКОМ» (ОГРН: 1067746216548, ИНН: 7725560073, юр. адрес: 115432, г. Москва,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вн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тер. г. Муниципальный округ Даниловский, проезд 2-й Кожуховский, д. 29, к. 5,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помещ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>. 1/6);</w:t>
      </w:r>
      <w:bookmarkEnd w:id="1"/>
    </w:p>
    <w:p w14:paraId="4C369FD5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ИП Кутырев Михаил Михайлович (ОГРНИП: 321527500042082, ИНН: 525625331795, юр. адрес: 603018, Нижний Новгород, ул. Минеева 31, кв. 10) </w:t>
      </w:r>
    </w:p>
    <w:p w14:paraId="669E8106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ООО "АКСИОМА ВЕБ" (ОГРН: 1187847081179, ИНН: 7802660100, юр. адрес: 195027, Город Санкт-Петербург, ул. Магнитогорская, дом 11, корпус ЛИТЕРА Б ЭТАЖ 1, ПОМ. 1-Н К. 61-65) </w:t>
      </w:r>
    </w:p>
    <w:p w14:paraId="69C8AA6E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ООО «Эдди Групп», ИНН 3500007401, ОГРН 1243500006034 160009, г. Вологда, ул. Мальцева, д. 52, офис 218. </w:t>
      </w:r>
    </w:p>
    <w:p w14:paraId="523F2357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ООО "ЦЕРЕБРО ДИДЖИТАЛ" (ОГРН: 1177847396264, ИНН: 7840073550, юр. адрес: 197022, Город Санкт-Петербург,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вн.тер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г. Муниципальный Округ Аптекарский Остров,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наб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Реки Карповки, дом 5, корпус 16, литера А, офис 401) </w:t>
      </w:r>
    </w:p>
    <w:p w14:paraId="5B3B913A" w14:textId="77777777" w:rsidR="00BA4794" w:rsidRPr="0003395D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ООО "ОК РЕВЬЮ" (ОГРН: 1227700843281, ИНН: 7736346258, юр. адрес: 117335, Город Москва,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вн.тер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г. Муниципальный Округ Ломоносовский,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ул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Вавилова, дом 91, корпус 2, помещение II, комната № 6) </w:t>
      </w:r>
    </w:p>
    <w:p w14:paraId="173F48FF" w14:textId="77777777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ООО «Яндекс» (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Юр.адрес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: 119021, г. Москва, ул. Льва Толстого, д.16) </w:t>
      </w:r>
    </w:p>
    <w:p w14:paraId="71E019D4" w14:textId="6E517509" w:rsidR="00BA4794" w:rsidRDefault="00000000">
      <w:pPr>
        <w:pStyle w:val="afd"/>
        <w:numPr>
          <w:ilvl w:val="0"/>
          <w:numId w:val="3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ООО «</w:t>
      </w:r>
      <w:r w:rsidR="0003395D">
        <w:rPr>
          <w:rFonts w:ascii="Times New Roman" w:eastAsia="Arial" w:hAnsi="Times New Roman" w:cs="Times New Roman"/>
          <w:sz w:val="24"/>
          <w:szCs w:val="24"/>
          <w:lang w:eastAsia="ru-RU"/>
        </w:rPr>
        <w:t>ДЖИЛИ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-МОТОРС» (ОГРН: 1097746264406, ИНН: 7716641537, юр. адрес: 127018, г. Москва,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вн.тер.г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Муниципальный округ Марьина Роща, ул. Двинцев, д.12, к. 1, этаж 5,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пом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/ком I/8) </w:t>
      </w:r>
    </w:p>
    <w:p w14:paraId="3D4BC6E3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</w:rPr>
        <w:t xml:space="preserve">Рекламная коммуникация со мной по указанным мной контактным данным может осуществляться посредством электронной почты,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-рассылки по сетям электросвязи, в том числе посредством использования телефонной, подвижной радиотелефонной связи, сообщений в социальных сетях и мессенджерах. </w:t>
      </w:r>
    </w:p>
    <w:p w14:paraId="1F19C975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Согласие действует с даты его предоставления до истечения 7 лет или до предоставления отзыва Согласия, если предусмотренная цель не будет достигнута ранее или в случае утраты необходимости в достижении цели. </w:t>
      </w:r>
    </w:p>
    <w:p w14:paraId="3B5262EC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Я, путем направления Оператору в любое время соответствующего обращения, вправе: </w:t>
      </w:r>
    </w:p>
    <w:p w14:paraId="62A9D445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получать подробную информацию об обработке ПД; </w:t>
      </w:r>
    </w:p>
    <w:p w14:paraId="2841416C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получать доступ к ПД, требовать их уточнения, блокирования или уничтожения в порядке, предусмотренном ст. 14 ФЗ РФ «О персональных данных» от 27.07.2006 № 152-ФЗ; </w:t>
      </w:r>
    </w:p>
    <w:p w14:paraId="6A77845A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полностью</w:t>
      </w:r>
      <w:r>
        <w:rPr>
          <w:rFonts w:ascii="Times New Roman" w:eastAsia="Arial" w:hAnsi="Times New Roman" w:cs="Times New Roman"/>
          <w:sz w:val="24"/>
          <w:szCs w:val="24"/>
        </w:rPr>
        <w:t xml:space="preserve"> или в какой-либо части отозвать Согласие и (или) требовать прекращения обработки ПД. </w:t>
      </w:r>
    </w:p>
    <w:p w14:paraId="061D72C6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Обращение к Оператору может быть направлено любым из предусмотренных способов: </w:t>
      </w:r>
    </w:p>
    <w:p w14:paraId="32C8D5FF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личное</w:t>
      </w:r>
      <w:r>
        <w:rPr>
          <w:rFonts w:ascii="Times New Roman" w:eastAsia="Arial" w:hAnsi="Times New Roman" w:cs="Times New Roman"/>
          <w:sz w:val="24"/>
          <w:szCs w:val="24"/>
        </w:rPr>
        <w:t xml:space="preserve"> письменное обращение по адресу Оператора, указанному в п. 1 Согласия; </w:t>
      </w:r>
    </w:p>
    <w:p w14:paraId="5DC656BA" w14:textId="77777777" w:rsidR="00BA4794" w:rsidRDefault="00000000">
      <w:pPr>
        <w:numPr>
          <w:ilvl w:val="1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/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направление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обращения на электронный 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адрес</w:t>
      </w:r>
      <w:r w:rsidRPr="0003395D">
        <w:rPr>
          <w:rFonts w:ascii="apple-system;BlinkMacSystemFont" w:eastAsia="Arial" w:hAnsi="apple-system;BlinkMacSystemFont" w:cs="Times New Roman"/>
          <w:color w:val="FFFFFF"/>
          <w:sz w:val="24"/>
          <w:szCs w:val="24"/>
        </w:rPr>
        <w:t>&lt;</w:t>
      </w:r>
      <w:proofErr w:type="gramEnd"/>
      <w:r>
        <w:rPr>
          <w:rFonts w:ascii="apple-system;BlinkMacSystemFont" w:eastAsia="Arial" w:hAnsi="apple-system;BlinkMacSystemFont" w:cs="Times New Roman"/>
          <w:color w:val="000000"/>
          <w:sz w:val="24"/>
          <w:szCs w:val="24"/>
          <w:u w:val="single"/>
        </w:rPr>
        <w:t>reseption@geely-marten.ru</w:t>
      </w:r>
    </w:p>
    <w:p w14:paraId="1CF9F52A" w14:textId="77777777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В случае отзыва Согласия Оператор вправе продолжить обработку ПД при наличии оснований, указанных в п. 2-11 ч. 1 ч. 6 ФЗ РФ «О персональных данных» от 27.07.2006 № 152-ФЗ. </w:t>
      </w:r>
    </w:p>
    <w:p w14:paraId="3C3F0CB2" w14:textId="7DDA4108" w:rsidR="00BA4794" w:rsidRDefault="00000000">
      <w:pPr>
        <w:pStyle w:val="afd"/>
        <w:numPr>
          <w:ilvl w:val="0"/>
          <w:numId w:val="4"/>
        </w:numPr>
        <w:tabs>
          <w:tab w:val="left" w:pos="851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</w:rPr>
        <w:t xml:space="preserve">Рекламодателем является также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ООО «</w:t>
      </w:r>
      <w:r w:rsidR="0003395D">
        <w:rPr>
          <w:rFonts w:ascii="Times New Roman" w:eastAsia="Arial" w:hAnsi="Times New Roman" w:cs="Times New Roman"/>
          <w:sz w:val="24"/>
          <w:szCs w:val="24"/>
          <w:lang w:eastAsia="ru-RU"/>
        </w:rPr>
        <w:t>ДЖИЛИ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-МОТОРС» (ОГРН: 1097746264406, ИНН: 7716641537, юр. адрес: 127018, г. Москва,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вн.тер.г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. Муниципальный округ Марьина Роща, ул. Двинцев, д.12, к. 1, этаж 5,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eastAsia="ru-RU"/>
        </w:rPr>
        <w:t>пом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/ком I/8) </w:t>
      </w:r>
    </w:p>
    <w:p w14:paraId="59D6EA98" w14:textId="38FDD401" w:rsidR="00BA4794" w:rsidRDefault="00000000">
      <w:pPr>
        <w:pStyle w:val="afd"/>
        <w:numPr>
          <w:ilvl w:val="0"/>
          <w:numId w:val="4"/>
        </w:numPr>
        <w:tabs>
          <w:tab w:val="left" w:pos="851"/>
          <w:tab w:val="left" w:pos="993"/>
        </w:tabs>
        <w:spacing w:after="0" w:line="280" w:lineRule="exact"/>
        <w:ind w:left="0" w:firstLine="567"/>
        <w:contextualSpacing w:val="0"/>
      </w:pPr>
      <w:r>
        <w:rPr>
          <w:rFonts w:ascii="Times New Roman" w:eastAsia="Arial" w:hAnsi="Times New Roman" w:cs="Times New Roman"/>
          <w:sz w:val="24"/>
          <w:szCs w:val="24"/>
        </w:rPr>
        <w:t xml:space="preserve">Мне понятно, что дополнительная информация об обработке ПД </w:t>
      </w:r>
      <w:r w:rsidR="0003395D">
        <w:rPr>
          <w:rFonts w:ascii="Times New Roman" w:eastAsia="Arial" w:hAnsi="Times New Roman" w:cs="Times New Roman"/>
          <w:b/>
          <w:bCs/>
          <w:sz w:val="24"/>
          <w:szCs w:val="24"/>
        </w:rPr>
        <w:t>Geely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Мартен (ООО «Мартен-Авто Сервис»)</w:t>
      </w:r>
      <w:r>
        <w:rPr>
          <w:rFonts w:ascii="Times New Roman" w:eastAsia="Arial" w:hAnsi="Times New Roman" w:cs="Times New Roman"/>
          <w:sz w:val="24"/>
          <w:szCs w:val="24"/>
        </w:rPr>
        <w:t xml:space="preserve"> содержится в Политике персональных данных</w:t>
      </w:r>
      <w:bookmarkEnd w:id="0"/>
      <w:r w:rsidR="0003395D">
        <w:rPr>
          <w:rFonts w:ascii="Times New Roman" w:eastAsia="Arial" w:hAnsi="Times New Roman" w:cs="Times New Roman"/>
          <w:sz w:val="24"/>
          <w:szCs w:val="24"/>
        </w:rPr>
        <w:t>.</w:t>
      </w:r>
    </w:p>
    <w:sectPr w:rsidR="00BA4794">
      <w:pgSz w:w="11906" w:h="16838"/>
      <w:pgMar w:top="709" w:right="991" w:bottom="709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4EFA" w14:textId="77777777" w:rsidR="00FD3EBA" w:rsidRDefault="00FD3EBA">
      <w:pPr>
        <w:spacing w:after="0"/>
      </w:pPr>
      <w:r>
        <w:separator/>
      </w:r>
    </w:p>
  </w:endnote>
  <w:endnote w:type="continuationSeparator" w:id="0">
    <w:p w14:paraId="632D001C" w14:textId="77777777" w:rsidR="00FD3EBA" w:rsidRDefault="00FD3E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-system;BlinkMacSystem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CC4E8" w14:textId="77777777" w:rsidR="00FD3EBA" w:rsidRDefault="00FD3EBA">
      <w:r>
        <w:separator/>
      </w:r>
    </w:p>
  </w:footnote>
  <w:footnote w:type="continuationSeparator" w:id="0">
    <w:p w14:paraId="5C6114D9" w14:textId="77777777" w:rsidR="00FD3EBA" w:rsidRDefault="00FD3EBA">
      <w:r>
        <w:continuationSeparator/>
      </w:r>
    </w:p>
  </w:footnote>
  <w:footnote w:id="1">
    <w:p w14:paraId="7428D5DB" w14:textId="77777777" w:rsidR="00BA4794" w:rsidRDefault="00000000">
      <w:pPr>
        <w:pStyle w:val="ae"/>
        <w:rPr>
          <w:rFonts w:ascii="Arial" w:hAnsi="Arial"/>
          <w:sz w:val="20"/>
        </w:rPr>
      </w:pPr>
      <w:r>
        <w:rPr>
          <w:rStyle w:val="af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</w:rPr>
        <w:t>Это могут быть следующие данные: номер телефона, адрес электронной почты.</w:t>
      </w:r>
    </w:p>
  </w:footnote>
  <w:footnote w:id="2">
    <w:p w14:paraId="5DA128F2" w14:textId="77777777" w:rsidR="00BA4794" w:rsidRDefault="00000000">
      <w:pPr>
        <w:pStyle w:val="ae"/>
      </w:pPr>
      <w:r>
        <w:rPr>
          <w:rStyle w:val="af"/>
        </w:rPr>
        <w:footnoteRef/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</w:rPr>
        <w:t>Третьи лица привлекаются при условии соблюдения конфиденциальности и требований законодательства. В случае неисполнения третьими лицами данных условий они будут нести ответственность на основании своих договорных обязательств перед Оператором и (или) в соответствии с положениями применимого законодательства. Перечень третьих лиц указан с учетом положений п. 6 ч. 4 ст. 9, ч. 4 ст. 18 ФЗ РФ «О персональных данных» от 27.07.2006 № 152-ФЗ.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319B9"/>
    <w:multiLevelType w:val="multilevel"/>
    <w:tmpl w:val="E422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10710"/>
    <w:multiLevelType w:val="multilevel"/>
    <w:tmpl w:val="55AE4E76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396"/>
      </w:pPr>
      <w:rPr>
        <w:rFonts w:ascii="Arial" w:eastAsia="Arial" w:hAnsi="Arial" w:cs="Arial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476886"/>
    <w:multiLevelType w:val="multilevel"/>
    <w:tmpl w:val="D30630E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B1E3F52"/>
    <w:multiLevelType w:val="multilevel"/>
    <w:tmpl w:val="CCC8CBDC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/>
        <w:b w:val="0"/>
        <w:i w:val="0"/>
        <w:sz w:val="20"/>
      </w:rPr>
    </w:lvl>
    <w:lvl w:ilvl="5">
      <w:start w:val="1"/>
      <w:numFmt w:val="bullet"/>
      <w:lvlText w:val="-"/>
      <w:lvlJc w:val="left"/>
      <w:pPr>
        <w:tabs>
          <w:tab w:val="num" w:pos="1304"/>
        </w:tabs>
        <w:ind w:left="1588" w:hanging="284"/>
      </w:pPr>
      <w:rPr>
        <w:rFonts w:ascii="Calibri" w:hAnsi="Calibri" w:cs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FA37D2A"/>
    <w:multiLevelType w:val="multilevel"/>
    <w:tmpl w:val="089C8B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396"/>
      </w:pPr>
      <w:rPr>
        <w:rFonts w:ascii="Times New Roman" w:eastAsia="Arial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59271587">
    <w:abstractNumId w:val="2"/>
  </w:num>
  <w:num w:numId="2" w16cid:durableId="389038422">
    <w:abstractNumId w:val="3"/>
  </w:num>
  <w:num w:numId="3" w16cid:durableId="1144542977">
    <w:abstractNumId w:val="1"/>
  </w:num>
  <w:num w:numId="4" w16cid:durableId="4945986">
    <w:abstractNumId w:val="4"/>
  </w:num>
  <w:num w:numId="5" w16cid:durableId="21327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794"/>
    <w:rsid w:val="0003395D"/>
    <w:rsid w:val="001D114C"/>
    <w:rsid w:val="006142B7"/>
    <w:rsid w:val="008C17EB"/>
    <w:rsid w:val="00A74497"/>
    <w:rsid w:val="00BA4794"/>
    <w:rsid w:val="00CC28CA"/>
    <w:rsid w:val="00D662FC"/>
    <w:rsid w:val="00F215C9"/>
    <w:rsid w:val="00FD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6D8"/>
  <w15:docId w15:val="{75811A8E-8482-478C-9794-E9D7AC5A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  <w:jc w:val="both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eastAsia="Arial" w:hAnsi="Calibri Light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Arial" w:hAnsi="Calibri Light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 Light" w:eastAsia="Arial" w:hAnsi="Calibri Light"/>
      <w:color w:val="1F3763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/>
      <w:outlineLvl w:val="7"/>
    </w:pPr>
    <w:rPr>
      <w:rFonts w:ascii="Arial" w:eastAsia="Arial" w:hAnsi="Arial"/>
      <w:i/>
      <w:iCs/>
      <w:sz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qFormat/>
    <w:rPr>
      <w:sz w:val="24"/>
      <w:szCs w:val="24"/>
    </w:rPr>
  </w:style>
  <w:style w:type="character" w:customStyle="1" w:styleId="22">
    <w:name w:val="Цитата 2 Знак"/>
    <w:link w:val="23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a9">
    <w:name w:val="Текст концевой сноски Знак"/>
    <w:link w:val="aa"/>
    <w:qFormat/>
    <w:rPr>
      <w:sz w:val="20"/>
    </w:rPr>
  </w:style>
  <w:style w:type="character" w:customStyle="1" w:styleId="ab">
    <w:name w:val="Символ концевой сноски"/>
    <w:basedOn w:val="a0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42">
    <w:name w:val="Уровень 4 Знак"/>
    <w:basedOn w:val="a0"/>
    <w:link w:val="4"/>
    <w:qFormat/>
    <w:rPr>
      <w:sz w:val="20"/>
    </w:rPr>
  </w:style>
  <w:style w:type="character" w:customStyle="1" w:styleId="24">
    <w:name w:val="Уровень 2 Знак"/>
    <w:basedOn w:val="a0"/>
    <w:link w:val="2"/>
    <w:qFormat/>
    <w:rPr>
      <w:rFonts w:ascii="Calibri" w:eastAsia="Arial" w:hAnsi="Calibri" w:cs="Arial"/>
      <w:b/>
      <w:bCs/>
      <w:szCs w:val="26"/>
    </w:rPr>
  </w:style>
  <w:style w:type="character" w:customStyle="1" w:styleId="ad">
    <w:name w:val="Текст сноски Знак"/>
    <w:basedOn w:val="a0"/>
    <w:link w:val="ae"/>
    <w:qFormat/>
    <w:rPr>
      <w:sz w:val="16"/>
      <w:szCs w:val="20"/>
    </w:rPr>
  </w:style>
  <w:style w:type="character" w:customStyle="1" w:styleId="af">
    <w:name w:val="Символ сноски"/>
    <w:basedOn w:val="a0"/>
    <w:qFormat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customStyle="1" w:styleId="tlid-translation">
    <w:name w:val="tlid-translation"/>
    <w:basedOn w:val="a0"/>
    <w:qFormat/>
  </w:style>
  <w:style w:type="character" w:customStyle="1" w:styleId="21">
    <w:name w:val="Заголовок 2 Знак"/>
    <w:basedOn w:val="a0"/>
    <w:link w:val="20"/>
    <w:qFormat/>
    <w:rPr>
      <w:rFonts w:ascii="Calibri Light" w:eastAsia="Arial" w:hAnsi="Calibri Light" w:cs="Arial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qFormat/>
    <w:rPr>
      <w:rFonts w:ascii="Calibri Light" w:eastAsia="Arial" w:hAnsi="Calibri Light" w:cs="Arial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a0"/>
    <w:qFormat/>
  </w:style>
  <w:style w:type="character" w:styleId="af1">
    <w:name w:val="annotation reference"/>
    <w:basedOn w:val="a0"/>
    <w:qFormat/>
    <w:rPr>
      <w:sz w:val="16"/>
      <w:szCs w:val="16"/>
    </w:rPr>
  </w:style>
  <w:style w:type="character" w:customStyle="1" w:styleId="af2">
    <w:name w:val="Текст примечания Знак"/>
    <w:basedOn w:val="a0"/>
    <w:link w:val="af3"/>
    <w:qFormat/>
    <w:rPr>
      <w:sz w:val="20"/>
      <w:szCs w:val="20"/>
    </w:rPr>
  </w:style>
  <w:style w:type="character" w:customStyle="1" w:styleId="af4">
    <w:name w:val="Тема примечания Знак"/>
    <w:basedOn w:val="af2"/>
    <w:link w:val="af5"/>
    <w:qFormat/>
    <w:rPr>
      <w:b/>
      <w:bCs/>
      <w:sz w:val="20"/>
      <w:szCs w:val="20"/>
    </w:rPr>
  </w:style>
  <w:style w:type="character" w:customStyle="1" w:styleId="af6">
    <w:name w:val="Текст выноски Знак"/>
    <w:basedOn w:val="a0"/>
    <w:link w:val="af7"/>
    <w:qFormat/>
    <w:rPr>
      <w:rFonts w:ascii="Segoe UI" w:hAnsi="Segoe UI" w:cs="Segoe UI"/>
      <w:sz w:val="18"/>
      <w:szCs w:val="18"/>
    </w:rPr>
  </w:style>
  <w:style w:type="character" w:customStyle="1" w:styleId="af8">
    <w:name w:val="Верхний колонтитул Знак"/>
    <w:basedOn w:val="a0"/>
    <w:link w:val="af9"/>
    <w:qFormat/>
    <w:rPr>
      <w:sz w:val="20"/>
    </w:rPr>
  </w:style>
  <w:style w:type="character" w:customStyle="1" w:styleId="afa">
    <w:name w:val="Нижний колонтитул Знак"/>
    <w:basedOn w:val="a0"/>
    <w:link w:val="afb"/>
    <w:qFormat/>
    <w:rPr>
      <w:sz w:val="20"/>
    </w:rPr>
  </w:style>
  <w:style w:type="character" w:customStyle="1" w:styleId="afc">
    <w:name w:val="Абзац списка Знак"/>
    <w:basedOn w:val="a0"/>
    <w:link w:val="afd"/>
    <w:qFormat/>
    <w:rPr>
      <w:sz w:val="20"/>
    </w:rPr>
  </w:style>
  <w:style w:type="character" w:styleId="afe">
    <w:name w:val="page number"/>
    <w:rPr>
      <w:rFonts w:ascii="Arial Narrow" w:hAnsi="Arial Narrow"/>
      <w:sz w:val="20"/>
    </w:rPr>
  </w:style>
  <w:style w:type="character" w:styleId="aff">
    <w:name w:val="Hyperlink"/>
    <w:basedOn w:val="a0"/>
    <w:rPr>
      <w:color w:val="0563C1" w:themeColor="hyperlink"/>
      <w:u w:val="single"/>
    </w:rPr>
  </w:style>
  <w:style w:type="character" w:styleId="aff0">
    <w:name w:val="Strong"/>
    <w:basedOn w:val="a0"/>
    <w:qFormat/>
    <w:rPr>
      <w:b/>
      <w:bCs/>
    </w:rPr>
  </w:style>
  <w:style w:type="character" w:styleId="aff1">
    <w:name w:val="Emphasis"/>
    <w:basedOn w:val="a0"/>
    <w:qFormat/>
    <w:rPr>
      <w:i/>
      <w:iCs/>
    </w:rPr>
  </w:style>
  <w:style w:type="character" w:customStyle="1" w:styleId="uficommentbody">
    <w:name w:val="uficommentbody"/>
    <w:basedOn w:val="a0"/>
    <w:qFormat/>
  </w:style>
  <w:style w:type="character" w:customStyle="1" w:styleId="12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31">
    <w:name w:val="Заголовок 3 Знак"/>
    <w:basedOn w:val="a0"/>
    <w:link w:val="30"/>
    <w:qFormat/>
    <w:rPr>
      <w:rFonts w:ascii="Calibri Light" w:eastAsia="Arial" w:hAnsi="Calibri Light" w:cs="Arial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a0"/>
    <w:qFormat/>
  </w:style>
  <w:style w:type="character" w:customStyle="1" w:styleId="viiyi">
    <w:name w:val="viiyi"/>
    <w:basedOn w:val="a0"/>
    <w:qFormat/>
  </w:style>
  <w:style w:type="character" w:customStyle="1" w:styleId="jlqj4b">
    <w:name w:val="jlqj4b"/>
    <w:basedOn w:val="a0"/>
    <w:qFormat/>
  </w:style>
  <w:style w:type="character" w:customStyle="1" w:styleId="description">
    <w:name w:val="description"/>
    <w:basedOn w:val="a0"/>
    <w:qFormat/>
  </w:style>
  <w:style w:type="character" w:customStyle="1" w:styleId="textstyledtextspan-sc-9bqqn7-0">
    <w:name w:val="text__styledtextspan-sc-9bqqn7-0"/>
    <w:basedOn w:val="a0"/>
    <w:qFormat/>
  </w:style>
  <w:style w:type="character" w:customStyle="1" w:styleId="25">
    <w:name w:val="Неразрешенное упоминание2"/>
    <w:basedOn w:val="a0"/>
    <w:qFormat/>
    <w:rPr>
      <w:color w:val="605E5C"/>
      <w:shd w:val="clear" w:color="auto" w:fill="E1DFDD"/>
    </w:rPr>
  </w:style>
  <w:style w:type="character" w:styleId="aff2">
    <w:name w:val="Unresolved Mention"/>
    <w:basedOn w:val="a0"/>
    <w:qFormat/>
    <w:rPr>
      <w:color w:val="605E5C"/>
      <w:shd w:val="clear" w:color="auto" w:fill="E1DFDD"/>
    </w:rPr>
  </w:style>
  <w:style w:type="character" w:customStyle="1" w:styleId="longcopy">
    <w:name w:val="long_copy"/>
    <w:basedOn w:val="a0"/>
    <w:qFormat/>
  </w:style>
  <w:style w:type="character" w:customStyle="1" w:styleId="docdata">
    <w:name w:val="docdata"/>
    <w:basedOn w:val="a0"/>
    <w:qFormat/>
  </w:style>
  <w:style w:type="paragraph" w:styleId="a4">
    <w:name w:val="Title"/>
    <w:basedOn w:val="a"/>
    <w:next w:val="aff3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</w:style>
  <w:style w:type="paragraph" w:styleId="aff5">
    <w:name w:val="caption"/>
    <w:basedOn w:val="a"/>
    <w:next w:val="a"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6">
    <w:name w:val="index heading"/>
    <w:basedOn w:val="a4"/>
  </w:style>
  <w:style w:type="paragraph" w:styleId="aff7">
    <w:name w:val="No Spacing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3">
    <w:name w:val="Quote"/>
    <w:basedOn w:val="a"/>
    <w:next w:val="a"/>
    <w:link w:val="22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a">
    <w:name w:val="endnote text"/>
    <w:basedOn w:val="a"/>
    <w:link w:val="a9"/>
    <w:pPr>
      <w:spacing w:after="0"/>
    </w:pPr>
  </w:style>
  <w:style w:type="paragraph" w:styleId="13">
    <w:name w:val="toc 1"/>
    <w:basedOn w:val="a"/>
    <w:next w:val="a"/>
    <w:pPr>
      <w:spacing w:after="57"/>
    </w:pPr>
  </w:style>
  <w:style w:type="paragraph" w:styleId="26">
    <w:name w:val="toc 2"/>
    <w:basedOn w:val="a"/>
    <w:next w:val="a"/>
    <w:pPr>
      <w:spacing w:after="57"/>
      <w:ind w:left="283"/>
    </w:pPr>
  </w:style>
  <w:style w:type="paragraph" w:styleId="32">
    <w:name w:val="toc 3"/>
    <w:basedOn w:val="a"/>
    <w:next w:val="a"/>
    <w:pPr>
      <w:spacing w:after="57"/>
      <w:ind w:left="567"/>
    </w:pPr>
  </w:style>
  <w:style w:type="paragraph" w:styleId="43">
    <w:name w:val="toc 4"/>
    <w:basedOn w:val="a"/>
    <w:next w:val="a"/>
    <w:pPr>
      <w:spacing w:after="57"/>
      <w:ind w:left="850"/>
    </w:pPr>
  </w:style>
  <w:style w:type="paragraph" w:styleId="52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f8">
    <w:name w:val="TOC Heading"/>
    <w:qFormat/>
    <w:pPr>
      <w:spacing w:after="160" w:line="259" w:lineRule="auto"/>
    </w:pPr>
  </w:style>
  <w:style w:type="paragraph" w:styleId="aff9">
    <w:name w:val="table of figures"/>
    <w:basedOn w:val="a"/>
    <w:next w:val="a"/>
    <w:pPr>
      <w:spacing w:after="0"/>
    </w:pPr>
  </w:style>
  <w:style w:type="paragraph" w:customStyle="1" w:styleId="5">
    <w:name w:val="Уровень 5"/>
    <w:basedOn w:val="afd"/>
    <w:qFormat/>
    <w:pPr>
      <w:numPr>
        <w:ilvl w:val="4"/>
        <w:numId w:val="2"/>
      </w:numPr>
      <w:spacing w:after="0"/>
      <w:contextualSpacing w:val="0"/>
    </w:pPr>
  </w:style>
  <w:style w:type="paragraph" w:customStyle="1" w:styleId="3">
    <w:name w:val="Уровень 3"/>
    <w:basedOn w:val="afd"/>
    <w:qFormat/>
    <w:pPr>
      <w:numPr>
        <w:ilvl w:val="2"/>
        <w:numId w:val="2"/>
      </w:numPr>
      <w:spacing w:after="0"/>
      <w:contextualSpacing w:val="0"/>
    </w:pPr>
  </w:style>
  <w:style w:type="paragraph" w:customStyle="1" w:styleId="4">
    <w:name w:val="Уровень 4"/>
    <w:basedOn w:val="afd"/>
    <w:link w:val="42"/>
    <w:qFormat/>
    <w:pPr>
      <w:numPr>
        <w:ilvl w:val="3"/>
        <w:numId w:val="2"/>
      </w:numPr>
      <w:spacing w:after="0"/>
      <w:contextualSpacing w:val="0"/>
    </w:pPr>
  </w:style>
  <w:style w:type="paragraph" w:customStyle="1" w:styleId="2">
    <w:name w:val="Уровень 2"/>
    <w:basedOn w:val="20"/>
    <w:link w:val="24"/>
    <w:qFormat/>
    <w:pPr>
      <w:numPr>
        <w:ilvl w:val="1"/>
        <w:numId w:val="2"/>
      </w:numPr>
      <w:spacing w:before="240" w:after="120"/>
    </w:pPr>
    <w:rPr>
      <w:rFonts w:ascii="Calibri" w:hAnsi="Calibri"/>
      <w:b/>
      <w:bCs/>
      <w:sz w:val="22"/>
    </w:rPr>
  </w:style>
  <w:style w:type="paragraph" w:customStyle="1" w:styleId="1">
    <w:name w:val="Уровень 1"/>
    <w:basedOn w:val="10"/>
    <w:qFormat/>
    <w:pPr>
      <w:pageBreakBefore/>
      <w:numPr>
        <w:numId w:val="2"/>
      </w:numPr>
      <w:spacing w:before="0" w:after="60"/>
    </w:pPr>
    <w:rPr>
      <w:rFonts w:ascii="Calibri" w:hAnsi="Calibri"/>
      <w:b/>
      <w:bCs/>
      <w:sz w:val="26"/>
      <w:szCs w:val="28"/>
    </w:rPr>
  </w:style>
  <w:style w:type="paragraph" w:styleId="ae">
    <w:name w:val="footnote text"/>
    <w:basedOn w:val="a"/>
    <w:link w:val="ad"/>
    <w:pPr>
      <w:spacing w:after="0"/>
    </w:pPr>
    <w:rPr>
      <w:sz w:val="16"/>
      <w:szCs w:val="20"/>
    </w:rPr>
  </w:style>
  <w:style w:type="paragraph" w:styleId="afd">
    <w:name w:val="List Paragraph"/>
    <w:basedOn w:val="a"/>
    <w:link w:val="afc"/>
    <w:qFormat/>
    <w:pPr>
      <w:ind w:left="720"/>
      <w:contextualSpacing/>
    </w:pPr>
  </w:style>
  <w:style w:type="paragraph" w:styleId="af3">
    <w:name w:val="annotation text"/>
    <w:basedOn w:val="a"/>
    <w:link w:val="af2"/>
    <w:rPr>
      <w:szCs w:val="20"/>
    </w:rPr>
  </w:style>
  <w:style w:type="paragraph" w:styleId="af5">
    <w:name w:val="annotation subject"/>
    <w:basedOn w:val="af3"/>
    <w:next w:val="af3"/>
    <w:link w:val="af4"/>
    <w:qFormat/>
    <w:rPr>
      <w:b/>
      <w:bCs/>
    </w:rPr>
  </w:style>
  <w:style w:type="paragraph" w:styleId="af7">
    <w:name w:val="Balloon Text"/>
    <w:basedOn w:val="a"/>
    <w:link w:val="af6"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fa">
    <w:name w:val="Колонтитулы"/>
    <w:basedOn w:val="a"/>
    <w:qFormat/>
  </w:style>
  <w:style w:type="paragraph" w:styleId="af9">
    <w:name w:val="header"/>
    <w:basedOn w:val="a"/>
    <w:link w:val="af8"/>
    <w:pPr>
      <w:tabs>
        <w:tab w:val="center" w:pos="4677"/>
        <w:tab w:val="right" w:pos="9355"/>
      </w:tabs>
      <w:spacing w:after="0"/>
    </w:pPr>
  </w:style>
  <w:style w:type="paragraph" w:styleId="afb">
    <w:name w:val="footer"/>
    <w:basedOn w:val="a"/>
    <w:link w:val="afa"/>
    <w:pPr>
      <w:tabs>
        <w:tab w:val="center" w:pos="4677"/>
        <w:tab w:val="right" w:pos="9355"/>
      </w:tabs>
      <w:spacing w:after="0"/>
    </w:pPr>
  </w:style>
  <w:style w:type="paragraph" w:styleId="affb">
    <w:name w:val="Normal (Web)"/>
    <w:basedOn w:val="a"/>
    <w:qFormat/>
    <w:pPr>
      <w:spacing w:before="280" w:after="280"/>
      <w:jc w:val="left"/>
    </w:pPr>
    <w:rPr>
      <w:rFonts w:cs="Calibri"/>
      <w:sz w:val="22"/>
      <w:lang w:eastAsia="ru-RU"/>
    </w:rPr>
  </w:style>
  <w:style w:type="paragraph" w:customStyle="1" w:styleId="Default">
    <w:name w:val="Default"/>
    <w:qFormat/>
    <w:rPr>
      <w:rFonts w:ascii="Arial" w:eastAsia="Arial Unicode MS" w:hAnsi="Arial"/>
      <w:color w:val="000000"/>
      <w:sz w:val="24"/>
      <w:szCs w:val="24"/>
      <w:lang w:eastAsia="ru-RU"/>
    </w:rPr>
  </w:style>
  <w:style w:type="paragraph" w:styleId="affc">
    <w:name w:val="Revision"/>
    <w:qFormat/>
    <w:rPr>
      <w:sz w:val="20"/>
    </w:rPr>
  </w:style>
  <w:style w:type="paragraph" w:customStyle="1" w:styleId="TableParagraph">
    <w:name w:val="Table Paragraph"/>
    <w:qFormat/>
    <w:pPr>
      <w:widowControl w:val="0"/>
    </w:pPr>
    <w:rPr>
      <w:rFonts w:ascii="Times New Roman" w:eastAsia="Times New Roman" w:hAnsi="Times New Roman" w:cs="Times New Roman"/>
    </w:rPr>
  </w:style>
  <w:style w:type="numbering" w:customStyle="1" w:styleId="affd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776</Words>
  <Characters>4428</Characters>
  <Application>Microsoft Office Word</Application>
  <DocSecurity>0</DocSecurity>
  <Lines>36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dc:description/>
  <cp:lastModifiedBy>Королева Анна Николаевна</cp:lastModifiedBy>
  <cp:revision>15</cp:revision>
  <dcterms:created xsi:type="dcterms:W3CDTF">2026-02-10T11:01:00Z</dcterms:created>
  <dcterms:modified xsi:type="dcterms:W3CDTF">2026-05-12T11:04:00Z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0x010100AE1E0C6307D8C54B8C831884E6AD787B</vt:lpwstr>
  </property>
</Properties>
</file>